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B8" w:rsidRDefault="00D210B8" w:rsidP="00FE6FFB">
      <w:pPr>
        <w:jc w:val="center"/>
        <w:rPr>
          <w:b/>
          <w:color w:val="0066A4"/>
          <w:sz w:val="32"/>
        </w:rPr>
      </w:pPr>
      <w:bookmarkStart w:id="0" w:name="_GoBack"/>
      <w:bookmarkEnd w:id="0"/>
      <w:r>
        <w:rPr>
          <w:b/>
          <w:color w:val="0066A4"/>
          <w:sz w:val="32"/>
        </w:rPr>
        <w:t>Identifying Issues &amp; Options</w:t>
      </w:r>
    </w:p>
    <w:tbl>
      <w:tblPr>
        <w:tblW w:w="55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1079"/>
        <w:gridCol w:w="1080"/>
        <w:gridCol w:w="3605"/>
        <w:gridCol w:w="5575"/>
        <w:gridCol w:w="2115"/>
      </w:tblGrid>
      <w:tr w:rsidR="00D210B8" w:rsidRPr="00EB570B" w:rsidTr="00E4433E">
        <w:trPr>
          <w:trHeight w:val="586"/>
          <w:tblHeader/>
        </w:trPr>
        <w:tc>
          <w:tcPr>
            <w:tcW w:w="738" w:type="pct"/>
            <w:vMerge w:val="restart"/>
          </w:tcPr>
          <w:p w:rsidR="00D210B8" w:rsidRPr="00EB570B" w:rsidRDefault="00D210B8" w:rsidP="00EB570B">
            <w:pPr>
              <w:spacing w:after="0" w:line="240" w:lineRule="auto"/>
              <w:rPr>
                <w:b/>
                <w:color w:val="0066A4"/>
                <w:sz w:val="24"/>
              </w:rPr>
            </w:pPr>
            <w:r w:rsidRPr="00EB570B">
              <w:rPr>
                <w:b/>
                <w:color w:val="0066A4"/>
                <w:sz w:val="24"/>
              </w:rPr>
              <w:t>What is the issue?</w:t>
            </w:r>
          </w:p>
        </w:tc>
        <w:tc>
          <w:tcPr>
            <w:tcW w:w="684" w:type="pct"/>
            <w:gridSpan w:val="2"/>
          </w:tcPr>
          <w:p w:rsidR="00D210B8" w:rsidRPr="00EB570B" w:rsidRDefault="00D210B8" w:rsidP="00EB570B">
            <w:pPr>
              <w:spacing w:after="0" w:line="240" w:lineRule="auto"/>
              <w:rPr>
                <w:b/>
                <w:color w:val="0066A4"/>
                <w:sz w:val="24"/>
              </w:rPr>
            </w:pPr>
            <w:r w:rsidRPr="00EB570B">
              <w:rPr>
                <w:b/>
                <w:color w:val="0066A4"/>
                <w:sz w:val="24"/>
              </w:rPr>
              <w:t>Is it a matter for:</w:t>
            </w:r>
          </w:p>
        </w:tc>
        <w:tc>
          <w:tcPr>
            <w:tcW w:w="1142" w:type="pct"/>
            <w:vMerge w:val="restart"/>
          </w:tcPr>
          <w:p w:rsidR="00D210B8" w:rsidRPr="00EB570B" w:rsidRDefault="00D210B8" w:rsidP="00EB570B">
            <w:pPr>
              <w:spacing w:after="0" w:line="240" w:lineRule="auto"/>
              <w:rPr>
                <w:b/>
                <w:color w:val="0066A4"/>
                <w:sz w:val="24"/>
              </w:rPr>
            </w:pPr>
            <w:r w:rsidRPr="00EB570B">
              <w:rPr>
                <w:b/>
                <w:color w:val="0066A4"/>
                <w:sz w:val="24"/>
              </w:rPr>
              <w:t xml:space="preserve">Is there existing planning policy relevant to this issue? </w:t>
            </w:r>
          </w:p>
          <w:p w:rsidR="00D210B8" w:rsidRPr="00EB570B" w:rsidRDefault="00D210B8" w:rsidP="00EB570B">
            <w:pPr>
              <w:spacing w:after="0" w:line="240" w:lineRule="auto"/>
              <w:rPr>
                <w:b/>
                <w:color w:val="0066A4"/>
                <w:sz w:val="24"/>
              </w:rPr>
            </w:pPr>
          </w:p>
        </w:tc>
        <w:tc>
          <w:tcPr>
            <w:tcW w:w="1766" w:type="pct"/>
            <w:vMerge w:val="restart"/>
          </w:tcPr>
          <w:p w:rsidR="00D210B8" w:rsidRPr="00EB570B" w:rsidRDefault="00D210B8" w:rsidP="00EB570B">
            <w:pPr>
              <w:spacing w:after="0" w:line="240" w:lineRule="auto"/>
              <w:rPr>
                <w:b/>
                <w:color w:val="0066A4"/>
                <w:sz w:val="24"/>
              </w:rPr>
            </w:pPr>
            <w:r w:rsidRPr="00EB570B">
              <w:rPr>
                <w:b/>
                <w:color w:val="0066A4"/>
                <w:sz w:val="24"/>
              </w:rPr>
              <w:t>What are the options? (Include possible implementation dates.)</w:t>
            </w:r>
          </w:p>
        </w:tc>
        <w:tc>
          <w:tcPr>
            <w:tcW w:w="670" w:type="pct"/>
            <w:vMerge w:val="restart"/>
          </w:tcPr>
          <w:p w:rsidR="00D210B8" w:rsidRPr="00EB570B" w:rsidRDefault="00D210B8" w:rsidP="00EB570B">
            <w:pPr>
              <w:spacing w:after="0" w:line="240" w:lineRule="auto"/>
              <w:rPr>
                <w:b/>
                <w:color w:val="0066A4"/>
                <w:sz w:val="24"/>
              </w:rPr>
            </w:pPr>
            <w:r w:rsidRPr="00EB570B">
              <w:rPr>
                <w:b/>
                <w:color w:val="0066A4"/>
                <w:sz w:val="24"/>
              </w:rPr>
              <w:t>How was the issue identified?</w:t>
            </w:r>
          </w:p>
        </w:tc>
      </w:tr>
      <w:tr w:rsidR="00D210B8" w:rsidRPr="00EB570B" w:rsidTr="00E4433E">
        <w:trPr>
          <w:trHeight w:val="144"/>
          <w:tblHeader/>
        </w:trPr>
        <w:tc>
          <w:tcPr>
            <w:tcW w:w="738" w:type="pct"/>
            <w:vMerge/>
          </w:tcPr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</w:tc>
        <w:tc>
          <w:tcPr>
            <w:tcW w:w="342" w:type="pct"/>
          </w:tcPr>
          <w:p w:rsidR="00D210B8" w:rsidRPr="00EB570B" w:rsidRDefault="00D210B8" w:rsidP="00EB570B">
            <w:pPr>
              <w:spacing w:after="0" w:line="240" w:lineRule="auto"/>
              <w:rPr>
                <w:b/>
                <w:color w:val="0066A4"/>
                <w:sz w:val="24"/>
              </w:rPr>
            </w:pPr>
            <w:r>
              <w:rPr>
                <w:b/>
                <w:color w:val="0066A4"/>
                <w:sz w:val="24"/>
              </w:rPr>
              <w:t>p</w:t>
            </w:r>
            <w:r w:rsidRPr="00EB570B">
              <w:rPr>
                <w:b/>
                <w:color w:val="0066A4"/>
                <w:sz w:val="24"/>
              </w:rPr>
              <w:t>lan</w:t>
            </w:r>
            <w:r>
              <w:rPr>
                <w:b/>
                <w:color w:val="0066A4"/>
                <w:sz w:val="24"/>
              </w:rPr>
              <w:t>-</w:t>
            </w:r>
            <w:r w:rsidRPr="00EB570B">
              <w:rPr>
                <w:b/>
                <w:color w:val="0066A4"/>
                <w:sz w:val="24"/>
              </w:rPr>
              <w:t>ning policy?</w:t>
            </w:r>
          </w:p>
        </w:tc>
        <w:tc>
          <w:tcPr>
            <w:tcW w:w="342" w:type="pct"/>
          </w:tcPr>
          <w:p w:rsidR="00D210B8" w:rsidRPr="00EB570B" w:rsidRDefault="00D210B8" w:rsidP="00EB570B">
            <w:pPr>
              <w:spacing w:after="0" w:line="240" w:lineRule="auto"/>
              <w:ind w:left="-108"/>
              <w:rPr>
                <w:b/>
                <w:color w:val="0066A4"/>
                <w:sz w:val="24"/>
              </w:rPr>
            </w:pPr>
            <w:r w:rsidRPr="00EB570B">
              <w:rPr>
                <w:b/>
                <w:color w:val="0066A4"/>
                <w:sz w:val="24"/>
              </w:rPr>
              <w:t>other solution?</w:t>
            </w:r>
          </w:p>
        </w:tc>
        <w:tc>
          <w:tcPr>
            <w:tcW w:w="1142" w:type="pct"/>
            <w:vMerge/>
          </w:tcPr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</w:tc>
        <w:tc>
          <w:tcPr>
            <w:tcW w:w="1766" w:type="pct"/>
            <w:vMerge/>
          </w:tcPr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</w:tc>
        <w:tc>
          <w:tcPr>
            <w:tcW w:w="670" w:type="pct"/>
            <w:vMerge/>
          </w:tcPr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</w:tc>
      </w:tr>
      <w:tr w:rsidR="00D210B8" w:rsidRPr="00EB570B" w:rsidTr="00E4433E">
        <w:trPr>
          <w:trHeight w:val="1896"/>
        </w:trPr>
        <w:tc>
          <w:tcPr>
            <w:tcW w:w="738" w:type="pct"/>
          </w:tcPr>
          <w:p w:rsidR="00D210B8" w:rsidRPr="00EB570B" w:rsidRDefault="00D210B8" w:rsidP="009063A8">
            <w:pPr>
              <w:spacing w:after="0" w:line="240" w:lineRule="auto"/>
            </w:pPr>
            <w:r>
              <w:t>Heritage and Built Environment issues relating to open spaces, scale, views and heritage matters in central Ealing.</w:t>
            </w: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</w:tc>
        <w:tc>
          <w:tcPr>
            <w:tcW w:w="342" w:type="pct"/>
          </w:tcPr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  <w:r w:rsidRPr="00EB570B">
              <w:rPr>
                <w:color w:val="0066A4"/>
              </w:rPr>
              <w:t xml:space="preserve"> Y</w:t>
            </w:r>
          </w:p>
        </w:tc>
        <w:tc>
          <w:tcPr>
            <w:tcW w:w="342" w:type="pct"/>
          </w:tcPr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  <w:p w:rsidR="00D210B8" w:rsidRPr="00EB570B" w:rsidRDefault="00D210B8" w:rsidP="00EB570B">
            <w:pPr>
              <w:spacing w:after="0" w:line="240" w:lineRule="auto"/>
            </w:pPr>
            <w:r>
              <w:rPr>
                <w:color w:val="0066A4"/>
              </w:rPr>
              <w:t>?</w:t>
            </w:r>
            <w:r w:rsidRPr="00EB570B">
              <w:rPr>
                <w:color w:val="0066A4"/>
              </w:rPr>
              <w:t>Y</w:t>
            </w:r>
          </w:p>
        </w:tc>
        <w:tc>
          <w:tcPr>
            <w:tcW w:w="1142" w:type="pct"/>
          </w:tcPr>
          <w:p w:rsidR="00D210B8" w:rsidRPr="00EB570B" w:rsidRDefault="00D210B8" w:rsidP="009063A8">
            <w:pPr>
              <w:spacing w:after="0" w:line="240" w:lineRule="auto"/>
              <w:rPr>
                <w:b/>
                <w:color w:val="0066A4"/>
              </w:rPr>
            </w:pPr>
            <w:r w:rsidRPr="00EB570B">
              <w:rPr>
                <w:b/>
                <w:color w:val="0066A4"/>
              </w:rPr>
              <w:t>NPPF:</w:t>
            </w:r>
            <w:r>
              <w:rPr>
                <w:b/>
                <w:color w:val="0066A4"/>
              </w:rPr>
              <w:t xml:space="preserve">  </w:t>
            </w:r>
            <w:r w:rsidRPr="00341285">
              <w:t>extensive, eg para 17, 65 in particular 126  &amp; 128, 129.</w:t>
            </w:r>
          </w:p>
          <w:p w:rsidR="00D210B8" w:rsidRPr="00EB570B" w:rsidRDefault="00D210B8" w:rsidP="009063A8">
            <w:pPr>
              <w:spacing w:after="0" w:line="240" w:lineRule="auto"/>
              <w:rPr>
                <w:b/>
                <w:color w:val="0066A4"/>
              </w:rPr>
            </w:pPr>
          </w:p>
          <w:p w:rsidR="00D210B8" w:rsidRPr="00EB570B" w:rsidRDefault="00D210B8" w:rsidP="009063A8">
            <w:pPr>
              <w:spacing w:after="0" w:line="240" w:lineRule="auto"/>
              <w:rPr>
                <w:b/>
                <w:color w:val="0066A4"/>
              </w:rPr>
            </w:pPr>
          </w:p>
          <w:p w:rsidR="00D210B8" w:rsidRDefault="00D210B8" w:rsidP="009063A8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EB570B">
                  <w:rPr>
                    <w:b/>
                    <w:color w:val="0066A4"/>
                  </w:rPr>
                  <w:t>London</w:t>
                </w:r>
              </w:smartTag>
            </w:smartTag>
            <w:r w:rsidRPr="00EB570B">
              <w:rPr>
                <w:b/>
                <w:color w:val="0066A4"/>
              </w:rPr>
              <w:t xml:space="preserve"> Plan:</w:t>
            </w:r>
            <w:r>
              <w:rPr>
                <w:b/>
                <w:color w:val="0066A4"/>
              </w:rPr>
              <w:t xml:space="preserve"> </w:t>
            </w:r>
            <w:r w:rsidRPr="00DC7CFD">
              <w:rPr>
                <w:color w:val="000000"/>
              </w:rPr>
              <w:t xml:space="preserve">Policy </w:t>
            </w:r>
            <w:r>
              <w:rPr>
                <w:color w:val="000000"/>
              </w:rPr>
              <w:t>7.4-7.9 (policies affecting of designated and undesignated heritage assets)</w:t>
            </w:r>
          </w:p>
          <w:p w:rsidR="00D210B8" w:rsidRDefault="00D210B8" w:rsidP="009063A8">
            <w:pPr>
              <w:spacing w:after="0" w:line="240" w:lineRule="auto"/>
              <w:rPr>
                <w:color w:val="000000"/>
              </w:rPr>
            </w:pPr>
          </w:p>
          <w:p w:rsidR="00D210B8" w:rsidRPr="00EB570B" w:rsidRDefault="00D210B8" w:rsidP="009063A8">
            <w:pPr>
              <w:spacing w:after="0" w:line="240" w:lineRule="auto"/>
              <w:rPr>
                <w:b/>
                <w:color w:val="0066A4"/>
              </w:rPr>
            </w:pPr>
          </w:p>
          <w:p w:rsidR="00D210B8" w:rsidRDefault="00D210B8" w:rsidP="009063A8">
            <w:pPr>
              <w:pStyle w:val="Pa01"/>
              <w:rPr>
                <w:rFonts w:ascii="Calibri" w:hAnsi="Calibri"/>
                <w:sz w:val="20"/>
                <w:szCs w:val="20"/>
              </w:rPr>
            </w:pPr>
            <w:r w:rsidRPr="002757F2">
              <w:rPr>
                <w:b/>
                <w:color w:val="0066A4"/>
                <w:sz w:val="22"/>
                <w:szCs w:val="22"/>
              </w:rPr>
              <w:t>Local Plan</w:t>
            </w:r>
            <w:r w:rsidRPr="00EB570B">
              <w:rPr>
                <w:b/>
                <w:color w:val="0066A4"/>
              </w:rPr>
              <w:t>:</w:t>
            </w:r>
            <w:r>
              <w:rPr>
                <w:b/>
                <w:color w:val="0066A4"/>
              </w:rPr>
              <w:t xml:space="preserve"> </w:t>
            </w:r>
            <w:r w:rsidRPr="00541FBC">
              <w:rPr>
                <w:rFonts w:ascii="Calibri" w:hAnsi="Calibri"/>
                <w:sz w:val="20"/>
                <w:szCs w:val="20"/>
              </w:rPr>
              <w:t>Core Policy</w:t>
            </w:r>
            <w:r>
              <w:rPr>
                <w:rFonts w:ascii="Calibri" w:hAnsi="Calibri"/>
                <w:sz w:val="20"/>
                <w:szCs w:val="20"/>
              </w:rPr>
              <w:t xml:space="preserve"> 1.2(g)</w:t>
            </w:r>
          </w:p>
          <w:p w:rsidR="00D210B8" w:rsidRDefault="00D210B8" w:rsidP="009063A8">
            <w:pPr>
              <w:rPr>
                <w:lang w:eastAsia="en-GB"/>
              </w:rPr>
            </w:pPr>
            <w:r>
              <w:rPr>
                <w:lang w:eastAsia="en-GB"/>
              </w:rPr>
              <w:t>Development management DPD</w:t>
            </w:r>
          </w:p>
          <w:p w:rsidR="00D210B8" w:rsidRDefault="00D210B8" w:rsidP="009063A8">
            <w:pPr>
              <w:rPr>
                <w:lang w:eastAsia="en-GB"/>
              </w:rPr>
            </w:pPr>
            <w:r>
              <w:rPr>
                <w:lang w:eastAsia="en-GB"/>
              </w:rPr>
              <w:t>Policy 7C and local policy 7.4 (local character) and 7B ) (design amenity)</w:t>
            </w:r>
          </w:p>
          <w:p w:rsidR="00D210B8" w:rsidRPr="00541FBC" w:rsidRDefault="00D210B8" w:rsidP="009063A8">
            <w:pPr>
              <w:rPr>
                <w:lang w:eastAsia="en-GB"/>
              </w:rPr>
            </w:pPr>
            <w:r>
              <w:rPr>
                <w:lang w:eastAsia="en-GB"/>
              </w:rPr>
              <w:t>Individual development sites for Ealing town centre.</w:t>
            </w:r>
          </w:p>
          <w:p w:rsidR="00D210B8" w:rsidRPr="00EB570B" w:rsidRDefault="00D210B8" w:rsidP="00EB570B">
            <w:pPr>
              <w:spacing w:after="0" w:line="240" w:lineRule="auto"/>
              <w:rPr>
                <w:color w:val="0066A4"/>
              </w:rPr>
            </w:pPr>
          </w:p>
        </w:tc>
        <w:tc>
          <w:tcPr>
            <w:tcW w:w="1766" w:type="pct"/>
          </w:tcPr>
          <w:p w:rsidR="00D210B8" w:rsidRDefault="00D210B8" w:rsidP="0040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en-GB"/>
              </w:rPr>
            </w:pPr>
            <w:r w:rsidRPr="004C4D0A">
              <w:rPr>
                <w:rFonts w:ascii="Helvetica" w:hAnsi="Helvetica" w:cs="Helvetica"/>
                <w:b/>
                <w:lang w:eastAsia="en-GB"/>
              </w:rPr>
              <w:t>Open spaces</w:t>
            </w:r>
            <w:r w:rsidRPr="00B47119">
              <w:rPr>
                <w:rFonts w:ascii="Helvetica" w:hAnsi="Helvetica" w:cs="Helvetica"/>
                <w:sz w:val="20"/>
                <w:szCs w:val="20"/>
                <w:lang w:eastAsia="en-GB"/>
              </w:rPr>
              <w:t xml:space="preserve"> </w:t>
            </w:r>
          </w:p>
          <w:p w:rsidR="00D210B8" w:rsidRPr="00B47119" w:rsidRDefault="00D210B8" w:rsidP="004C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en-GB"/>
              </w:rPr>
            </w:pPr>
            <w:r w:rsidRPr="00B47119">
              <w:rPr>
                <w:rFonts w:ascii="Helvetica" w:hAnsi="Helvetica" w:cs="Helvetica"/>
                <w:sz w:val="20"/>
                <w:szCs w:val="20"/>
                <w:lang w:eastAsia="en-GB"/>
              </w:rPr>
              <w:t>•must be preserved and protected from</w:t>
            </w: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 xml:space="preserve"> e</w:t>
            </w:r>
            <w:r w:rsidRPr="00B47119">
              <w:rPr>
                <w:rFonts w:ascii="Helvetica" w:hAnsi="Helvetica" w:cs="Helvetica"/>
                <w:sz w:val="20"/>
                <w:szCs w:val="20"/>
                <w:lang w:eastAsia="en-GB"/>
              </w:rPr>
              <w:t>ncroachment by development</w:t>
            </w: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>;</w:t>
            </w:r>
          </w:p>
          <w:p w:rsidR="00D210B8" w:rsidRPr="00B47119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en-GB"/>
              </w:rPr>
            </w:pPr>
            <w:r w:rsidRPr="00B47119">
              <w:rPr>
                <w:rFonts w:ascii="Helvetica" w:hAnsi="Helvetica" w:cs="Helvetica"/>
                <w:sz w:val="20"/>
                <w:szCs w:val="20"/>
                <w:lang w:eastAsia="en-GB"/>
              </w:rPr>
              <w:t>•Potential overshadowing, bulk and height of any tall buildings in</w:t>
            </w: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 xml:space="preserve"> </w:t>
            </w:r>
            <w:r w:rsidRPr="00B47119">
              <w:rPr>
                <w:rFonts w:ascii="Helvetica" w:hAnsi="Helvetica" w:cs="Helvetica"/>
                <w:sz w:val="20"/>
                <w:szCs w:val="20"/>
                <w:lang w:eastAsia="en-GB"/>
              </w:rPr>
              <w:t>the vicinity must be</w:t>
            </w: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 xml:space="preserve"> carefully assessed and impact  minimised;</w:t>
            </w:r>
          </w:p>
          <w:p w:rsidR="00D210B8" w:rsidRPr="00B47119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en-GB"/>
              </w:rPr>
            </w:pPr>
            <w:r w:rsidRPr="00B47119">
              <w:rPr>
                <w:rFonts w:ascii="Helvetica" w:hAnsi="Helvetica" w:cs="Helvetica"/>
                <w:sz w:val="20"/>
                <w:szCs w:val="20"/>
                <w:lang w:eastAsia="en-GB"/>
              </w:rPr>
              <w:t>•</w:t>
            </w: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>Avoid</w:t>
            </w:r>
            <w:r w:rsidRPr="00B47119">
              <w:rPr>
                <w:rFonts w:ascii="Helvetica" w:hAnsi="Helvetica" w:cs="Helvetica"/>
                <w:sz w:val="20"/>
                <w:szCs w:val="20"/>
                <w:lang w:eastAsia="en-GB"/>
              </w:rPr>
              <w:t xml:space="preserve"> increase</w:t>
            </w: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>d</w:t>
            </w:r>
            <w:r w:rsidRPr="00B47119">
              <w:rPr>
                <w:rFonts w:ascii="Helvetica" w:hAnsi="Helvetica" w:cs="Helvetica"/>
                <w:sz w:val="20"/>
                <w:szCs w:val="20"/>
                <w:lang w:eastAsia="en-GB"/>
              </w:rPr>
              <w:t xml:space="preserve"> pressure from people using the spaces </w:t>
            </w: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>as a result of</w:t>
            </w:r>
            <w:r w:rsidRPr="00B47119">
              <w:rPr>
                <w:rFonts w:ascii="Helvetica" w:hAnsi="Helvetica" w:cs="Helvetica"/>
                <w:sz w:val="20"/>
                <w:szCs w:val="20"/>
                <w:lang w:eastAsia="en-GB"/>
              </w:rPr>
              <w:t xml:space="preserve"> over</w:t>
            </w: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>-</w:t>
            </w:r>
            <w:r w:rsidRPr="00B47119">
              <w:rPr>
                <w:rFonts w:ascii="Helvetica" w:hAnsi="Helvetica" w:cs="Helvetica"/>
                <w:sz w:val="20"/>
                <w:szCs w:val="20"/>
                <w:lang w:eastAsia="en-GB"/>
              </w:rPr>
              <w:t>dense</w:t>
            </w: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 xml:space="preserve"> </w:t>
            </w:r>
            <w:r w:rsidRPr="00B47119">
              <w:rPr>
                <w:rFonts w:ascii="Helvetica" w:hAnsi="Helvetica" w:cs="Helvetica"/>
                <w:sz w:val="20"/>
                <w:szCs w:val="20"/>
                <w:lang w:eastAsia="en-GB"/>
              </w:rPr>
              <w:t>developments nearby</w:t>
            </w: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>;</w:t>
            </w:r>
          </w:p>
          <w:p w:rsidR="00D210B8" w:rsidRPr="00B47119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en-GB"/>
              </w:rPr>
            </w:pPr>
            <w:r w:rsidRPr="00B47119">
              <w:rPr>
                <w:rFonts w:ascii="Helvetica" w:hAnsi="Helvetica" w:cs="Helvetica"/>
                <w:sz w:val="20"/>
                <w:szCs w:val="20"/>
                <w:lang w:eastAsia="en-GB"/>
              </w:rPr>
              <w:t>•Enhance opportunities for wildlife to encourage biodiversity</w:t>
            </w: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>;</w:t>
            </w:r>
          </w:p>
          <w:p w:rsidR="00D210B8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5"/>
                <w:szCs w:val="25"/>
                <w:lang w:eastAsia="en-GB"/>
              </w:rPr>
            </w:pPr>
            <w:r w:rsidRPr="00B47119">
              <w:rPr>
                <w:rFonts w:ascii="Helvetica" w:hAnsi="Helvetica" w:cs="Helvetica"/>
                <w:sz w:val="20"/>
                <w:szCs w:val="20"/>
                <w:lang w:eastAsia="en-GB"/>
              </w:rPr>
              <w:t>•There should be a planned enhancement/replacement programme</w:t>
            </w: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 xml:space="preserve"> </w:t>
            </w:r>
            <w:r w:rsidRPr="00B47119">
              <w:rPr>
                <w:rFonts w:ascii="Helvetica" w:hAnsi="Helvetica" w:cs="Helvetica"/>
                <w:sz w:val="20"/>
                <w:szCs w:val="20"/>
                <w:lang w:eastAsia="en-GB"/>
              </w:rPr>
              <w:t>for trees under stress or affected by disease</w:t>
            </w: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>.</w:t>
            </w:r>
            <w:r>
              <w:rPr>
                <w:rFonts w:ascii="Helvetica" w:hAnsi="Helvetica" w:cs="Helvetica"/>
                <w:sz w:val="25"/>
                <w:szCs w:val="25"/>
                <w:lang w:eastAsia="en-GB"/>
              </w:rPr>
              <w:t xml:space="preserve"> </w:t>
            </w:r>
          </w:p>
          <w:p w:rsidR="00D210B8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en-GB"/>
              </w:rPr>
            </w:pPr>
          </w:p>
          <w:p w:rsidR="00D210B8" w:rsidRPr="004C4D0A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en-GB"/>
              </w:rPr>
            </w:pPr>
            <w:r w:rsidRPr="004C4D0A">
              <w:rPr>
                <w:rFonts w:ascii="Helvetica" w:hAnsi="Helvetica" w:cs="Helvetica"/>
                <w:b/>
                <w:lang w:eastAsia="en-GB"/>
              </w:rPr>
              <w:t>Scale</w:t>
            </w:r>
          </w:p>
          <w:p w:rsidR="00D210B8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>•New developments must respect character and scale of the vicinity and not dominate existing buildings;</w:t>
            </w:r>
          </w:p>
          <w:p w:rsidR="00D210B8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>•They should generally be no more than 4-6 storeys on existing [major] street frontages.</w:t>
            </w:r>
          </w:p>
          <w:p w:rsidR="00D210B8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>•Any new taller buildings should avoid dramatic contrast in scale, massing and design with nearby buildings typical of the conservation areas and which make a positive contribution to the character of the area.</w:t>
            </w:r>
          </w:p>
          <w:p w:rsidR="00D210B8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en-GB"/>
              </w:rPr>
              <w:t>•Developments in the conservation areas must conform with the provisions of the relevant CA management plans.</w:t>
            </w:r>
          </w:p>
          <w:p w:rsidR="00D210B8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en-GB"/>
              </w:rPr>
            </w:pPr>
          </w:p>
          <w:p w:rsidR="00D210B8" w:rsidRPr="004C4D0A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en-GB"/>
              </w:rPr>
            </w:pPr>
            <w:r w:rsidRPr="004C4D0A">
              <w:rPr>
                <w:rFonts w:ascii="Helvetica" w:hAnsi="Helvetica" w:cs="Helvetica"/>
                <w:b/>
                <w:lang w:eastAsia="en-GB"/>
              </w:rPr>
              <w:t>Views</w:t>
            </w:r>
          </w:p>
          <w:p w:rsidR="00D210B8" w:rsidRPr="004C4D0A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</w:pPr>
            <w:r w:rsidRPr="004C4D0A">
              <w:rPr>
                <w:rFonts w:ascii="Helvetica" w:hAnsi="Helvetica" w:cs="Helvetica"/>
                <w:sz w:val="20"/>
                <w:szCs w:val="20"/>
                <w:lang w:eastAsia="en-GB"/>
              </w:rPr>
              <w:t xml:space="preserve">• </w:t>
            </w:r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Protect key views, e.g. Town Hall,</w:t>
            </w:r>
            <w:r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 xml:space="preserve"> </w:t>
            </w:r>
            <w:smartTag w:uri="urn:schemas-microsoft-com:office:smarttags" w:element="City">
              <w:r w:rsidRPr="004C4D0A">
                <w:rPr>
                  <w:rFonts w:ascii="Helvetica-Oblique" w:hAnsi="Helvetica-Oblique" w:cs="Helvetica-Oblique"/>
                  <w:iCs/>
                  <w:sz w:val="20"/>
                  <w:szCs w:val="20"/>
                  <w:lang w:eastAsia="en-GB"/>
                </w:rPr>
                <w:t>Christchurch</w:t>
              </w:r>
            </w:smartTag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 xml:space="preserve"> and </w:t>
            </w:r>
            <w:smartTag w:uri="urn:schemas-microsoft-com:office:smarttags" w:element="PlaceName">
              <w:smartTag w:uri="urn:schemas-microsoft-com:office:smarttags" w:element="place">
                <w:r w:rsidRPr="004C4D0A">
                  <w:rPr>
                    <w:rFonts w:ascii="Helvetica-Oblique" w:hAnsi="Helvetica-Oblique" w:cs="Helvetica-Oblique"/>
                    <w:iCs/>
                    <w:sz w:val="20"/>
                    <w:szCs w:val="20"/>
                    <w:lang w:eastAsia="en-GB"/>
                  </w:rPr>
                  <w:t>Polish</w:t>
                </w:r>
              </w:smartTag>
              <w:r w:rsidRPr="004C4D0A">
                <w:rPr>
                  <w:rFonts w:ascii="Helvetica-Oblique" w:hAnsi="Helvetica-Oblique" w:cs="Helvetica-Oblique"/>
                  <w:iCs/>
                  <w:sz w:val="20"/>
                  <w:szCs w:val="2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4C4D0A">
                  <w:rPr>
                    <w:rFonts w:ascii="Helvetica-Oblique" w:hAnsi="Helvetica-Oblique" w:cs="Helvetica-Oblique"/>
                    <w:iCs/>
                    <w:sz w:val="20"/>
                    <w:szCs w:val="20"/>
                    <w:lang w:eastAsia="en-GB"/>
                  </w:rPr>
                  <w:t>Church</w:t>
                </w:r>
              </w:smartTag>
            </w:smartTag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 xml:space="preserve"> steeples,</w:t>
            </w:r>
            <w:r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 xml:space="preserve"> </w:t>
            </w:r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Pitzhanger Manor from Ealing Green etc</w:t>
            </w:r>
            <w:r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;</w:t>
            </w:r>
          </w:p>
          <w:p w:rsidR="00D210B8" w:rsidRPr="004C4D0A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</w:pPr>
            <w:r w:rsidRPr="004C4D0A">
              <w:rPr>
                <w:rFonts w:ascii="Helvetica" w:hAnsi="Helvetica" w:cs="Helvetica"/>
                <w:sz w:val="20"/>
                <w:szCs w:val="20"/>
                <w:lang w:eastAsia="en-GB"/>
              </w:rPr>
              <w:t xml:space="preserve">• </w:t>
            </w:r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Retain and enhance tree-lined avenues,</w:t>
            </w:r>
            <w:r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 xml:space="preserve"> </w:t>
            </w:r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 xml:space="preserve">e.g. </w:t>
            </w:r>
            <w:smartTag w:uri="urn:schemas-microsoft-com:office:smarttags" w:element="address">
              <w:smartTag w:uri="urn:schemas-microsoft-com:office:smarttags" w:element="Street">
                <w:r w:rsidRPr="004C4D0A">
                  <w:rPr>
                    <w:rFonts w:ascii="Helvetica-Oblique" w:hAnsi="Helvetica-Oblique" w:cs="Helvetica-Oblique"/>
                    <w:iCs/>
                    <w:sz w:val="20"/>
                    <w:szCs w:val="20"/>
                    <w:lang w:eastAsia="en-GB"/>
                  </w:rPr>
                  <w:t>Uxbridge Road</w:t>
                </w:r>
              </w:smartTag>
            </w:smartTag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 xml:space="preserve"> boulevard</w:t>
            </w:r>
            <w:r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;</w:t>
            </w:r>
          </w:p>
          <w:p w:rsidR="00D210B8" w:rsidRPr="004C4D0A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</w:pPr>
            <w:r w:rsidRPr="004C4D0A">
              <w:rPr>
                <w:rFonts w:ascii="Helvetica" w:hAnsi="Helvetica" w:cs="Helvetica"/>
                <w:sz w:val="20"/>
                <w:szCs w:val="20"/>
                <w:lang w:eastAsia="en-GB"/>
              </w:rPr>
              <w:lastRenderedPageBreak/>
              <w:t xml:space="preserve">• </w:t>
            </w:r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Views from open spaces should not be</w:t>
            </w:r>
            <w:r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 xml:space="preserve"> </w:t>
            </w:r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dominated by tall or bulky buildings.</w:t>
            </w:r>
          </w:p>
          <w:p w:rsidR="00D210B8" w:rsidRPr="004C4D0A" w:rsidRDefault="00D210B8" w:rsidP="004C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en-GB"/>
              </w:rPr>
            </w:pPr>
            <w:r>
              <w:rPr>
                <w:rFonts w:ascii="Helvetica" w:hAnsi="Helvetica" w:cs="Helvetica"/>
                <w:b/>
                <w:lang w:eastAsia="en-GB"/>
              </w:rPr>
              <w:t xml:space="preserve">[Cultural] </w:t>
            </w:r>
            <w:r w:rsidRPr="004C4D0A">
              <w:rPr>
                <w:rFonts w:ascii="Helvetica" w:hAnsi="Helvetica" w:cs="Helvetica"/>
                <w:b/>
                <w:lang w:eastAsia="en-GB"/>
              </w:rPr>
              <w:t xml:space="preserve">Heritage </w:t>
            </w:r>
          </w:p>
          <w:p w:rsidR="00D210B8" w:rsidRPr="004C4D0A" w:rsidRDefault="00D210B8" w:rsidP="004C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</w:pPr>
            <w:r w:rsidRPr="004C4D0A">
              <w:rPr>
                <w:rFonts w:ascii="Helvetica" w:hAnsi="Helvetica" w:cs="Helvetica"/>
                <w:sz w:val="20"/>
                <w:szCs w:val="20"/>
                <w:lang w:eastAsia="en-GB"/>
              </w:rPr>
              <w:t>•</w:t>
            </w:r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Exploit proposed cultural quarter by</w:t>
            </w:r>
          </w:p>
          <w:p w:rsidR="00D210B8" w:rsidRPr="004C4D0A" w:rsidRDefault="00D210B8" w:rsidP="004C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</w:pPr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expanding arts and culture facilities (for</w:t>
            </w:r>
            <w:r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 xml:space="preserve"> </w:t>
            </w:r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Culture etc Working Group)</w:t>
            </w:r>
            <w:r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;</w:t>
            </w:r>
          </w:p>
          <w:p w:rsidR="00D210B8" w:rsidRPr="004C4D0A" w:rsidRDefault="00D210B8" w:rsidP="004C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</w:pPr>
            <w:r w:rsidRPr="004C4D0A">
              <w:rPr>
                <w:rFonts w:ascii="Helvetica" w:hAnsi="Helvetica" w:cs="Helvetica"/>
                <w:sz w:val="20"/>
                <w:szCs w:val="20"/>
                <w:lang w:eastAsia="en-GB"/>
              </w:rPr>
              <w:t>•</w:t>
            </w:r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Build on existing heritage, e.g. Ealing</w:t>
            </w:r>
          </w:p>
          <w:p w:rsidR="00D210B8" w:rsidRDefault="00D210B8" w:rsidP="004C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Studios (scope for film museum), Ealing</w:t>
            </w:r>
            <w:r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 xml:space="preserve"> </w:t>
            </w:r>
            <w:r w:rsidRPr="004C4D0A"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Club, Questors, Dance Studios</w:t>
            </w:r>
            <w:r>
              <w:rPr>
                <w:rFonts w:ascii="Helvetica-Oblique" w:hAnsi="Helvetica-Oblique" w:cs="Helvetica-Oblique"/>
                <w:iCs/>
                <w:sz w:val="20"/>
                <w:szCs w:val="20"/>
                <w:lang w:eastAsia="en-GB"/>
              </w:rPr>
              <w:t>;</w:t>
            </w:r>
          </w:p>
          <w:p w:rsidR="00D210B8" w:rsidRPr="004C4D0A" w:rsidRDefault="00D210B8" w:rsidP="004C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en-GB"/>
              </w:rPr>
            </w:pPr>
            <w:r w:rsidRPr="004C4D0A">
              <w:rPr>
                <w:rFonts w:ascii="Helvetica" w:hAnsi="Helvetica" w:cs="Helvetica"/>
                <w:sz w:val="20"/>
                <w:szCs w:val="20"/>
                <w:lang w:eastAsia="en-GB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 furniture and lighting, carriageways, footways, planting  'assets'  may be in need of assessment/upgrading [possible overlap with Culture and Transport Groups]</w:t>
            </w:r>
          </w:p>
          <w:p w:rsidR="00D210B8" w:rsidRPr="004C4D0A" w:rsidRDefault="00D210B8" w:rsidP="00B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en-GB"/>
              </w:rPr>
            </w:pPr>
          </w:p>
          <w:p w:rsidR="00D210B8" w:rsidRPr="00EB570B" w:rsidRDefault="00D210B8" w:rsidP="00B4711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70" w:type="pct"/>
          </w:tcPr>
          <w:p w:rsidR="00D210B8" w:rsidRDefault="00D210B8" w:rsidP="00EB570B">
            <w:pPr>
              <w:spacing w:after="0" w:line="240" w:lineRule="auto"/>
              <w:rPr>
                <w:b/>
                <w:color w:val="0066A4"/>
              </w:rPr>
            </w:pPr>
            <w:r w:rsidRPr="00EB570B">
              <w:rPr>
                <w:b/>
                <w:color w:val="0066A4"/>
              </w:rPr>
              <w:lastRenderedPageBreak/>
              <w:t>Evidence:</w:t>
            </w:r>
          </w:p>
          <w:p w:rsidR="00D210B8" w:rsidRDefault="00D210B8" w:rsidP="00EB570B">
            <w:pPr>
              <w:spacing w:after="0" w:line="240" w:lineRule="auto"/>
              <w:rPr>
                <w:b/>
                <w:color w:val="0066A4"/>
              </w:rPr>
            </w:pPr>
          </w:p>
          <w:p w:rsidR="00D210B8" w:rsidRPr="003549EB" w:rsidRDefault="00D210B8" w:rsidP="00EB570B">
            <w:pPr>
              <w:spacing w:after="0" w:line="240" w:lineRule="auto"/>
              <w:rPr>
                <w:sz w:val="20"/>
                <w:szCs w:val="20"/>
              </w:rPr>
            </w:pPr>
            <w:r w:rsidRPr="003549EB">
              <w:rPr>
                <w:sz w:val="20"/>
                <w:szCs w:val="20"/>
              </w:rPr>
              <w:t>Peter Hall presentation to ECS</w:t>
            </w:r>
          </w:p>
          <w:p w:rsidR="00D210B8" w:rsidRPr="003549EB" w:rsidRDefault="00D210B8" w:rsidP="00EB570B">
            <w:pPr>
              <w:spacing w:after="0" w:line="240" w:lineRule="auto"/>
              <w:rPr>
                <w:sz w:val="20"/>
                <w:szCs w:val="20"/>
              </w:rPr>
            </w:pPr>
          </w:p>
          <w:p w:rsidR="00D210B8" w:rsidRPr="003549EB" w:rsidRDefault="00D210B8" w:rsidP="00EB570B">
            <w:pPr>
              <w:spacing w:after="0" w:line="240" w:lineRule="auto"/>
              <w:rPr>
                <w:sz w:val="20"/>
                <w:szCs w:val="20"/>
              </w:rPr>
            </w:pPr>
            <w:r w:rsidRPr="003549EB">
              <w:rPr>
                <w:sz w:val="20"/>
                <w:szCs w:val="20"/>
              </w:rPr>
              <w:t>Various CENF workshops</w:t>
            </w:r>
          </w:p>
          <w:p w:rsidR="00D210B8" w:rsidRPr="003549EB" w:rsidRDefault="00D210B8" w:rsidP="00EB570B">
            <w:pPr>
              <w:spacing w:after="0" w:line="240" w:lineRule="auto"/>
              <w:rPr>
                <w:sz w:val="20"/>
                <w:szCs w:val="20"/>
              </w:rPr>
            </w:pPr>
          </w:p>
          <w:p w:rsidR="00D210B8" w:rsidRDefault="00D210B8" w:rsidP="00EB570B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549EB">
                  <w:rPr>
                    <w:sz w:val="20"/>
                    <w:szCs w:val="20"/>
                  </w:rPr>
                  <w:t>Arcadia</w:t>
                </w:r>
              </w:smartTag>
            </w:smartTag>
            <w:r w:rsidRPr="003549EB">
              <w:rPr>
                <w:sz w:val="20"/>
                <w:szCs w:val="20"/>
              </w:rPr>
              <w:t xml:space="preserve"> public inquiry: inspector's report</w:t>
            </w:r>
            <w:r>
              <w:rPr>
                <w:sz w:val="20"/>
                <w:szCs w:val="20"/>
              </w:rPr>
              <w:t>.</w:t>
            </w:r>
          </w:p>
          <w:p w:rsidR="00D210B8" w:rsidRDefault="00D210B8" w:rsidP="00EB570B">
            <w:pPr>
              <w:spacing w:after="0" w:line="240" w:lineRule="auto"/>
              <w:rPr>
                <w:sz w:val="20"/>
                <w:szCs w:val="20"/>
              </w:rPr>
            </w:pPr>
          </w:p>
          <w:p w:rsidR="00D210B8" w:rsidRPr="003549EB" w:rsidRDefault="00D210B8" w:rsidP="00E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applications that have been submitted</w:t>
            </w:r>
          </w:p>
          <w:p w:rsidR="00D210B8" w:rsidRPr="00477A85" w:rsidRDefault="00D210B8" w:rsidP="00EB57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sz w:val="20"/>
                <w:szCs w:val="20"/>
              </w:rPr>
            </w:pPr>
          </w:p>
          <w:p w:rsidR="00D210B8" w:rsidRPr="00EB570B" w:rsidRDefault="00D210B8" w:rsidP="00EB570B">
            <w:pPr>
              <w:spacing w:after="0" w:line="240" w:lineRule="auto"/>
              <w:rPr>
                <w:b/>
                <w:color w:val="0066A4"/>
              </w:rPr>
            </w:pPr>
          </w:p>
          <w:p w:rsidR="00D210B8" w:rsidRDefault="00D210B8" w:rsidP="00EB570B">
            <w:pPr>
              <w:spacing w:after="0" w:line="240" w:lineRule="auto"/>
              <w:rPr>
                <w:b/>
                <w:color w:val="0066A4"/>
              </w:rPr>
            </w:pPr>
            <w:r w:rsidRPr="00EB570B">
              <w:rPr>
                <w:b/>
                <w:color w:val="0066A4"/>
              </w:rPr>
              <w:t>Engagement:</w:t>
            </w:r>
          </w:p>
          <w:p w:rsidR="00D210B8" w:rsidRDefault="00D210B8" w:rsidP="00EB570B">
            <w:pPr>
              <w:spacing w:after="0" w:line="240" w:lineRule="auto"/>
              <w:rPr>
                <w:b/>
                <w:color w:val="0066A4"/>
              </w:rPr>
            </w:pPr>
          </w:p>
          <w:p w:rsidR="00D210B8" w:rsidRPr="00D11CEA" w:rsidRDefault="00D210B8" w:rsidP="00EB570B">
            <w:pPr>
              <w:spacing w:after="0" w:line="240" w:lineRule="auto"/>
            </w:pPr>
            <w:r w:rsidRPr="00D11CEA">
              <w:t>TBC</w:t>
            </w:r>
            <w:r w:rsidRPr="00D11CEA">
              <w:br/>
            </w:r>
          </w:p>
        </w:tc>
      </w:tr>
    </w:tbl>
    <w:p w:rsidR="00D210B8" w:rsidRPr="005C04CE" w:rsidRDefault="00D210B8" w:rsidP="007F64CA">
      <w:pPr>
        <w:rPr>
          <w:b/>
          <w:color w:val="0066A4"/>
          <w:sz w:val="32"/>
        </w:rPr>
      </w:pPr>
    </w:p>
    <w:sectPr w:rsidR="00D210B8" w:rsidRPr="005C04CE" w:rsidSect="00B25B6D">
      <w:headerReference w:type="default" r:id="rId7"/>
      <w:footerReference w:type="default" r:id="rId8"/>
      <w:pgSz w:w="16839" w:h="11907" w:orient="landscape" w:code="9"/>
      <w:pgMar w:top="30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50" w:rsidRDefault="00BB7150" w:rsidP="005C04CE">
      <w:pPr>
        <w:spacing w:after="0" w:line="240" w:lineRule="auto"/>
      </w:pPr>
      <w:r>
        <w:separator/>
      </w:r>
    </w:p>
  </w:endnote>
  <w:endnote w:type="continuationSeparator" w:id="0">
    <w:p w:rsidR="00BB7150" w:rsidRDefault="00BB7150" w:rsidP="005C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B8" w:rsidRDefault="00D210B8" w:rsidP="003A3C59">
    <w:pPr>
      <w:pStyle w:val="Footer"/>
      <w:rPr>
        <w:noProof/>
        <w:lang w:eastAsia="en-GB"/>
      </w:rPr>
    </w:pPr>
    <w:r>
      <w:rPr>
        <w:noProof/>
        <w:lang w:eastAsia="en-GB"/>
      </w:rPr>
      <w:t>Created by heritage &amp; built environment topic group      Page..1…of…….2           Signed…Robert Gurd………………………….......</w:t>
    </w:r>
    <w:r>
      <w:rPr>
        <w:noProof/>
        <w:lang w:eastAsia="en-GB"/>
      </w:rPr>
      <w:tab/>
      <w:t>Date…27/2/14…(draft 2)</w:t>
    </w:r>
  </w:p>
  <w:p w:rsidR="00D210B8" w:rsidRDefault="00D210B8" w:rsidP="003A3C59">
    <w:pPr>
      <w:pStyle w:val="Footer"/>
    </w:pPr>
    <w:r>
      <w:rPr>
        <w:noProof/>
        <w:lang w:eastAsia="en-GB"/>
      </w:rPr>
      <w:t>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50" w:rsidRDefault="00BB7150" w:rsidP="005C04CE">
      <w:pPr>
        <w:spacing w:after="0" w:line="240" w:lineRule="auto"/>
      </w:pPr>
      <w:r>
        <w:separator/>
      </w:r>
    </w:p>
  </w:footnote>
  <w:footnote w:type="continuationSeparator" w:id="0">
    <w:p w:rsidR="00BB7150" w:rsidRDefault="00BB7150" w:rsidP="005C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B8" w:rsidRDefault="00D210B8" w:rsidP="006C44AD">
    <w:pPr>
      <w:pStyle w:val="Header"/>
      <w:ind w:right="-981"/>
      <w:jc w:val="right"/>
      <w:rPr>
        <w:sz w:val="36"/>
        <w:szCs w:val="36"/>
      </w:rPr>
    </w:pPr>
  </w:p>
  <w:p w:rsidR="00D210B8" w:rsidRDefault="0077524F" w:rsidP="006C44AD">
    <w:pPr>
      <w:pStyle w:val="Header"/>
      <w:ind w:right="-981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-570230</wp:posOffset>
          </wp:positionH>
          <wp:positionV relativeFrom="page">
            <wp:posOffset>34925</wp:posOffset>
          </wp:positionV>
          <wp:extent cx="3084195" cy="859155"/>
          <wp:effectExtent l="0" t="0" r="1905" b="0"/>
          <wp:wrapTight wrapText="bothSides">
            <wp:wrapPolygon edited="0">
              <wp:start x="0" y="0"/>
              <wp:lineTo x="0" y="21073"/>
              <wp:lineTo x="21480" y="21073"/>
              <wp:lineTo x="21480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0B8">
      <w:rPr>
        <w:sz w:val="36"/>
        <w:szCs w:val="36"/>
      </w:rPr>
      <w:t xml:space="preserve">        </w:t>
    </w:r>
    <w:r w:rsidR="00D210B8" w:rsidRPr="002D6BBC">
      <w:rPr>
        <w:sz w:val="36"/>
        <w:szCs w:val="36"/>
      </w:rPr>
      <w:t>Creating the Neighbourhood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5013"/>
    <w:multiLevelType w:val="hybridMultilevel"/>
    <w:tmpl w:val="74C642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B478F4D-0535-43E1-B9C1-16BB69A4315A}"/>
    <w:docVar w:name="dgnword-eventsink" w:val="338150784"/>
  </w:docVars>
  <w:rsids>
    <w:rsidRoot w:val="00385CF9"/>
    <w:rsid w:val="000702E9"/>
    <w:rsid w:val="000B3C44"/>
    <w:rsid w:val="00103D6C"/>
    <w:rsid w:val="001942F5"/>
    <w:rsid w:val="001A14A2"/>
    <w:rsid w:val="001C006B"/>
    <w:rsid w:val="00216466"/>
    <w:rsid w:val="00260110"/>
    <w:rsid w:val="002757F2"/>
    <w:rsid w:val="00276DAE"/>
    <w:rsid w:val="0029107E"/>
    <w:rsid w:val="00295BEB"/>
    <w:rsid w:val="002B11EA"/>
    <w:rsid w:val="002C52A5"/>
    <w:rsid w:val="002D6BBC"/>
    <w:rsid w:val="002E5399"/>
    <w:rsid w:val="00341285"/>
    <w:rsid w:val="003549EB"/>
    <w:rsid w:val="00367C2F"/>
    <w:rsid w:val="00385CF9"/>
    <w:rsid w:val="00385D52"/>
    <w:rsid w:val="003A3C59"/>
    <w:rsid w:val="0040612F"/>
    <w:rsid w:val="00477A85"/>
    <w:rsid w:val="00483D02"/>
    <w:rsid w:val="004C4D0A"/>
    <w:rsid w:val="004D4918"/>
    <w:rsid w:val="00500BE7"/>
    <w:rsid w:val="00541FBC"/>
    <w:rsid w:val="005553B3"/>
    <w:rsid w:val="005C04CE"/>
    <w:rsid w:val="005D7C89"/>
    <w:rsid w:val="005F3FE7"/>
    <w:rsid w:val="00603123"/>
    <w:rsid w:val="00655DDF"/>
    <w:rsid w:val="006B4922"/>
    <w:rsid w:val="006C44AD"/>
    <w:rsid w:val="006F2D3E"/>
    <w:rsid w:val="00736BDE"/>
    <w:rsid w:val="00737342"/>
    <w:rsid w:val="00757BD0"/>
    <w:rsid w:val="0077524F"/>
    <w:rsid w:val="007A2935"/>
    <w:rsid w:val="007D3A5A"/>
    <w:rsid w:val="007F64CA"/>
    <w:rsid w:val="00817287"/>
    <w:rsid w:val="008931AB"/>
    <w:rsid w:val="008949D4"/>
    <w:rsid w:val="009063A8"/>
    <w:rsid w:val="00921429"/>
    <w:rsid w:val="0092726A"/>
    <w:rsid w:val="0094613A"/>
    <w:rsid w:val="009720E7"/>
    <w:rsid w:val="009B1DA6"/>
    <w:rsid w:val="00AD0DAB"/>
    <w:rsid w:val="00B25B6D"/>
    <w:rsid w:val="00B47119"/>
    <w:rsid w:val="00BB7150"/>
    <w:rsid w:val="00BD1F33"/>
    <w:rsid w:val="00C23E4B"/>
    <w:rsid w:val="00C70262"/>
    <w:rsid w:val="00CA57C0"/>
    <w:rsid w:val="00CE1A73"/>
    <w:rsid w:val="00CE4505"/>
    <w:rsid w:val="00D11CEA"/>
    <w:rsid w:val="00D210B8"/>
    <w:rsid w:val="00D76B43"/>
    <w:rsid w:val="00D821F2"/>
    <w:rsid w:val="00D84C64"/>
    <w:rsid w:val="00DC7CFD"/>
    <w:rsid w:val="00DE07CA"/>
    <w:rsid w:val="00DF3EEC"/>
    <w:rsid w:val="00E1059E"/>
    <w:rsid w:val="00E14F14"/>
    <w:rsid w:val="00E1521B"/>
    <w:rsid w:val="00E32491"/>
    <w:rsid w:val="00E41D8D"/>
    <w:rsid w:val="00E4433E"/>
    <w:rsid w:val="00EA6C93"/>
    <w:rsid w:val="00EB570B"/>
    <w:rsid w:val="00EB6F49"/>
    <w:rsid w:val="00EC6FD9"/>
    <w:rsid w:val="00F178F0"/>
    <w:rsid w:val="00F352AC"/>
    <w:rsid w:val="00F97E42"/>
    <w:rsid w:val="00FB1956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C1211980-5610-451D-8920-D19FB15B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9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C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4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4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4CE"/>
    <w:rPr>
      <w:rFonts w:ascii="Tahoma" w:hAnsi="Tahoma" w:cs="Tahoma"/>
      <w:sz w:val="16"/>
      <w:szCs w:val="16"/>
    </w:rPr>
  </w:style>
  <w:style w:type="paragraph" w:customStyle="1" w:styleId="Pa01">
    <w:name w:val="Pa0+1"/>
    <w:basedOn w:val="Normal"/>
    <w:next w:val="Normal"/>
    <w:uiPriority w:val="99"/>
    <w:rsid w:val="009063A8"/>
    <w:pPr>
      <w:autoSpaceDE w:val="0"/>
      <w:autoSpaceDN w:val="0"/>
      <w:adjustRightInd w:val="0"/>
      <w:spacing w:after="0" w:line="241" w:lineRule="atLeast"/>
    </w:pPr>
    <w:rPr>
      <w:rFonts w:ascii="Arial" w:hAnsi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Issues &amp; Options</vt:lpstr>
    </vt:vector>
  </TitlesOfParts>
  <Company>rtpi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Issues &amp; Options</dc:title>
  <dc:subject/>
  <dc:creator>Amy Tyler_Jones</dc:creator>
  <cp:keywords/>
  <dc:description/>
  <cp:lastModifiedBy>Anthony Miller</cp:lastModifiedBy>
  <cp:revision>2</cp:revision>
  <dcterms:created xsi:type="dcterms:W3CDTF">2014-03-18T23:19:00Z</dcterms:created>
  <dcterms:modified xsi:type="dcterms:W3CDTF">2014-03-18T23:19:00Z</dcterms:modified>
</cp:coreProperties>
</file>